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Règlement d’ordre intérieur du Jury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Objet du marché</w:t>
      </w:r>
      <w:r>
        <w:rPr>
          <w:rFonts w:ascii="Trebuchet MS" w:hAnsi="Trebuchet MS" w:cs="Arial"/>
          <w:sz w:val="20"/>
        </w:rPr>
        <w:t xml:space="preserve">. </w:t>
      </w:r>
      <w:r>
        <w:rPr>
          <w:rFonts w:ascii="Trebuchet MS" w:hAnsi="Trebuchet MS" w:cs="Arial"/>
          <w:sz w:val="20"/>
          <w:highlight w:val="yellow"/>
        </w:rPr>
        <w:t>Copier le titre du projet, par exemple à partir de l’avis de marché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Type et mode de marché</w:t>
      </w:r>
      <w:r>
        <w:rPr>
          <w:rFonts w:ascii="Trebuchet MS" w:hAnsi="Trebuchet MS" w:cs="Arial"/>
          <w:sz w:val="20"/>
        </w:rPr>
        <w:t xml:space="preserve">. Marché de services par procédure concurrentielle avec négociation ; publicité </w:t>
      </w:r>
      <w:r>
        <w:rPr>
          <w:rFonts w:ascii="Trebuchet MS" w:hAnsi="Trebuchet MS" w:cs="Arial"/>
          <w:sz w:val="20"/>
          <w:highlight w:val="yellow"/>
        </w:rPr>
        <w:t>belge/européenne</w:t>
      </w:r>
      <w:r>
        <w:rPr>
          <w:rFonts w:ascii="Trebuchet MS" w:hAnsi="Trebuchet MS" w:cs="Arial"/>
          <w:sz w:val="20"/>
        </w:rPr>
        <w:t>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Avis de marché</w:t>
      </w:r>
      <w:r>
        <w:rPr>
          <w:rFonts w:ascii="Trebuchet MS" w:hAnsi="Trebuchet MS" w:cs="Arial"/>
          <w:sz w:val="20"/>
        </w:rPr>
        <w:t xml:space="preserve">. Publié sur e-Procurement le </w:t>
      </w:r>
      <w:r>
        <w:rPr>
          <w:rFonts w:ascii="Trebuchet MS" w:hAnsi="Trebuchet MS" w:cs="Arial"/>
          <w:sz w:val="20"/>
          <w:highlight w:val="yellow"/>
        </w:rPr>
        <w:t>XX/XX/20XX</w:t>
      </w:r>
      <w:r>
        <w:rPr>
          <w:rFonts w:ascii="Trebuchet MS" w:hAnsi="Trebuchet MS" w:cs="Arial"/>
          <w:sz w:val="20"/>
        </w:rPr>
        <w:t xml:space="preserve"> </w:t>
      </w:r>
      <w:commentRangeStart w:id="0"/>
      <w:r>
        <w:rPr>
          <w:rFonts w:ascii="Trebuchet MS" w:hAnsi="Trebuchet MS" w:cs="Arial"/>
          <w:sz w:val="20"/>
        </w:rPr>
        <w:t>et au JOUE le XX/XX/XXXX </w:t>
      </w:r>
      <w:commentRangeEnd w:id="0"/>
      <w:r>
        <w:rPr>
          <w:rStyle w:val="Marquedecommentaire"/>
          <w:rFonts w:ascii="Trebuchet MS" w:hAnsi="Trebuchet MS"/>
        </w:rPr>
        <w:commentReference w:id="0"/>
      </w:r>
      <w:r>
        <w:rPr>
          <w:rFonts w:ascii="Trebuchet MS" w:hAnsi="Trebuchet MS" w:cs="Arial"/>
          <w:sz w:val="20"/>
        </w:rPr>
        <w:t xml:space="preserve">; </w:t>
      </w:r>
      <w:commentRangeStart w:id="1"/>
      <w:r>
        <w:rPr>
          <w:rFonts w:ascii="Trebuchet MS" w:hAnsi="Trebuchet MS" w:cs="Arial"/>
          <w:sz w:val="20"/>
        </w:rPr>
        <w:t xml:space="preserve">avis rectificatif(s) publié(s) le XX/XX/XXXX </w:t>
      </w:r>
      <w:commentRangeEnd w:id="1"/>
      <w:r>
        <w:rPr>
          <w:rStyle w:val="Marquedecommentaire"/>
          <w:rFonts w:ascii="Trebuchet MS" w:hAnsi="Trebuchet MS"/>
        </w:rPr>
        <w:commentReference w:id="1"/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Procédure en deux étapes</w:t>
      </w:r>
      <w:r>
        <w:rPr>
          <w:rFonts w:ascii="Trebuchet MS" w:hAnsi="Trebuchet MS" w:cs="Arial"/>
          <w:sz w:val="20"/>
        </w:rPr>
        <w:t> :</w:t>
      </w:r>
    </w:p>
    <w:p>
      <w:pPr>
        <w:spacing w:before="180"/>
        <w:ind w:lef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1</w:t>
      </w:r>
      <w:r>
        <w:rPr>
          <w:rFonts w:ascii="Trebuchet MS" w:hAnsi="Trebuchet MS" w:cs="Arial"/>
          <w:sz w:val="20"/>
          <w:vertAlign w:val="superscript"/>
        </w:rPr>
        <w:t>e</w:t>
      </w:r>
      <w:r>
        <w:rPr>
          <w:rFonts w:ascii="Trebuchet MS" w:hAnsi="Trebuchet MS" w:cs="Arial"/>
          <w:sz w:val="20"/>
        </w:rPr>
        <w:t xml:space="preserve"> étape : sélection qualitative des candidats </w:t>
      </w:r>
    </w:p>
    <w:p>
      <w:pPr>
        <w:pStyle w:val="Retraitcorpsdetexte2"/>
        <w:ind w:left="284" w:firstLine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Objectif : proposer à l’adjudicateur de retenir de </w:t>
      </w:r>
      <w:r>
        <w:rPr>
          <w:rFonts w:ascii="Trebuchet MS" w:hAnsi="Trebuchet MS" w:cs="Arial"/>
          <w:sz w:val="20"/>
          <w:highlight w:val="yellow"/>
        </w:rPr>
        <w:t>3 à 5</w:t>
      </w:r>
      <w:r>
        <w:rPr>
          <w:rFonts w:ascii="Trebuchet MS" w:hAnsi="Trebuchet MS" w:cs="Arial"/>
          <w:sz w:val="20"/>
        </w:rPr>
        <w:t xml:space="preserve"> candidats auteurs de projet qui seront invitées à déposer et présenter une offre (pré-esquisse) sur base du Cahier des charges.</w:t>
      </w:r>
    </w:p>
    <w:p>
      <w:pPr>
        <w:pStyle w:val="Retraitcorpsdetexte2"/>
        <w:ind w:left="284" w:firstLine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Date de la réunion : le </w:t>
      </w:r>
      <w:r>
        <w:rPr>
          <w:rFonts w:ascii="Trebuchet MS" w:hAnsi="Trebuchet MS" w:cs="Arial"/>
          <w:sz w:val="20"/>
          <w:highlight w:val="yellow"/>
        </w:rPr>
        <w:t>XX/XX/</w:t>
      </w:r>
      <w:proofErr w:type="gramStart"/>
      <w:r>
        <w:rPr>
          <w:rFonts w:ascii="Trebuchet MS" w:hAnsi="Trebuchet MS" w:cs="Arial"/>
          <w:sz w:val="20"/>
          <w:highlight w:val="yellow"/>
        </w:rPr>
        <w:t>XXXX .</w:t>
      </w:r>
      <w:proofErr w:type="gramEnd"/>
    </w:p>
    <w:p>
      <w:pPr>
        <w:spacing w:before="180"/>
        <w:ind w:left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Cs/>
          <w:sz w:val="20"/>
        </w:rPr>
        <w:t>2</w:t>
      </w:r>
      <w:r>
        <w:rPr>
          <w:rFonts w:ascii="Trebuchet MS" w:hAnsi="Trebuchet MS" w:cs="Arial"/>
          <w:bCs/>
          <w:sz w:val="20"/>
          <w:vertAlign w:val="superscript"/>
        </w:rPr>
        <w:t>e</w:t>
      </w:r>
      <w:r>
        <w:rPr>
          <w:rFonts w:ascii="Trebuchet MS" w:hAnsi="Trebuchet MS" w:cs="Arial"/>
          <w:bCs/>
          <w:sz w:val="20"/>
        </w:rPr>
        <w:t xml:space="preserve"> étape : attribution du marché</w:t>
      </w:r>
    </w:p>
    <w:p>
      <w:pPr>
        <w:pStyle w:val="Retraitcorpsdetexte2"/>
        <w:ind w:left="284" w:firstLine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Objectif : sur base des pré-esquisses déposées par les soumissionnaires et suite à leurs présentations orales, proposer à l’adjudicateur de désigner le lauréat. </w:t>
      </w:r>
    </w:p>
    <w:p>
      <w:pPr>
        <w:pStyle w:val="Titre1"/>
        <w:ind w:left="284"/>
        <w:rPr>
          <w:rFonts w:ascii="Trebuchet MS" w:hAnsi="Trebuchet MS" w:cs="Arial"/>
          <w:i w:val="0"/>
          <w:sz w:val="20"/>
        </w:rPr>
      </w:pPr>
      <w:r>
        <w:rPr>
          <w:rFonts w:ascii="Trebuchet MS" w:hAnsi="Trebuchet MS" w:cs="Arial"/>
          <w:i w:val="0"/>
          <w:sz w:val="20"/>
        </w:rPr>
        <w:t xml:space="preserve">Date de la réunion : </w:t>
      </w:r>
      <w:r>
        <w:rPr>
          <w:rFonts w:ascii="Trebuchet MS" w:hAnsi="Trebuchet MS" w:cs="Arial"/>
          <w:i w:val="0"/>
          <w:sz w:val="20"/>
          <w:highlight w:val="yellow"/>
        </w:rPr>
        <w:t>à définir</w:t>
      </w:r>
      <w:r>
        <w:rPr>
          <w:rFonts w:ascii="Trebuchet MS" w:hAnsi="Trebuchet MS" w:cs="Arial"/>
          <w:i w:val="0"/>
          <w:sz w:val="20"/>
        </w:rPr>
        <w:t>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commentRangeStart w:id="2"/>
      <w:r>
        <w:rPr>
          <w:rFonts w:ascii="Trebuchet MS" w:hAnsi="Trebuchet MS" w:cs="Arial"/>
          <w:sz w:val="20"/>
          <w:u w:val="single"/>
        </w:rPr>
        <w:t>Composition du Jury</w:t>
      </w:r>
      <w:r>
        <w:rPr>
          <w:rFonts w:ascii="Trebuchet MS" w:hAnsi="Trebuchet MS" w:cs="Arial"/>
          <w:sz w:val="20"/>
        </w:rPr>
        <w:t> </w:t>
      </w:r>
      <w:commentRangeEnd w:id="2"/>
      <w:r>
        <w:rPr>
          <w:rStyle w:val="Marquedecommentaire"/>
          <w:rFonts w:ascii="Trebuchet MS" w:hAnsi="Trebuchet MS"/>
        </w:rPr>
        <w:commentReference w:id="2"/>
      </w:r>
      <w:r>
        <w:rPr>
          <w:rFonts w:ascii="Trebuchet MS" w:hAnsi="Trebuchet MS" w:cs="Arial"/>
          <w:sz w:val="20"/>
        </w:rPr>
        <w:t>:</w:t>
      </w:r>
    </w:p>
    <w:p>
      <w:pPr>
        <w:spacing w:before="180"/>
        <w:ind w:left="284"/>
        <w:jc w:val="both"/>
        <w:rPr>
          <w:rFonts w:ascii="Trebuchet MS" w:hAnsi="Trebuchet MS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4536"/>
        <w:gridCol w:w="992"/>
        <w:gridCol w:w="992"/>
      </w:tblGrid>
      <w:tr>
        <w:tc>
          <w:tcPr>
            <w:tcW w:w="918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 w:themeFill="text1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</w:rPr>
            </w:pPr>
            <w:bookmarkStart w:id="3" w:name="_Toc215913124"/>
            <w:bookmarkStart w:id="4" w:name="_Toc215913376"/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highlight w:val="black"/>
                <w:lang w:val="fr-BE"/>
              </w:rPr>
              <w:t xml:space="preserve">MEMBRES DU JURY – voix </w:t>
            </w: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lang w:val="fr-BE"/>
              </w:rPr>
              <w:t>DELIBERATIVE</w:t>
            </w:r>
          </w:p>
        </w:tc>
      </w:tr>
      <w:tr>
        <w:tc>
          <w:tcPr>
            <w:tcW w:w="7196" w:type="dxa"/>
            <w:gridSpan w:val="3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right"/>
              <w:rPr>
                <w:rFonts w:ascii="Trebuchet MS" w:hAnsi="Trebuchet MS"/>
                <w:b/>
                <w:bCs/>
                <w:caps/>
                <w:sz w:val="20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</w:rPr>
              <w:t>PRESENT AU JURY DE :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sz w:val="20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</w:rPr>
              <w:t>S.Q.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sz w:val="20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</w:rPr>
              <w:t>ATTRIB.</w:t>
            </w: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Pour l’adjudicateur: </w:t>
            </w:r>
            <w:r>
              <w:rPr>
                <w:rFonts w:ascii="Trebuchet MS" w:hAnsi="Trebuchet MS"/>
                <w:b/>
                <w:bCs/>
                <w:caps/>
                <w:sz w:val="20"/>
                <w:highlight w:val="yellow"/>
                <w:lang w:val="fr-BE"/>
              </w:rPr>
              <w:t>xxxxxxxxxxxxxx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i/>
                <w:color w:val="1F497D" w:themeColor="text2"/>
                <w:sz w:val="20"/>
                <w:lang w:val="fr-BE"/>
              </w:rPr>
            </w:pPr>
            <w:r>
              <w:rPr>
                <w:rFonts w:ascii="Trebuchet MS" w:hAnsi="Trebuchet MS"/>
                <w:color w:val="1F497D" w:themeColor="text2"/>
                <w:sz w:val="20"/>
                <w:lang w:val="fr-BE"/>
              </w:rPr>
              <w:t xml:space="preserve">- </w:t>
            </w:r>
            <w:r>
              <w:rPr>
                <w:rFonts w:ascii="Trebuchet MS" w:hAnsi="Trebuchet MS"/>
                <w:color w:val="1F497D" w:themeColor="text2"/>
                <w:sz w:val="20"/>
              </w:rPr>
              <w:t>Prénom NOM</w:t>
            </w: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  <w:r>
              <w:rPr>
                <w:rFonts w:ascii="Trebuchet MS" w:hAnsi="Trebuchet MS"/>
                <w:color w:val="1F497D" w:themeColor="text2"/>
                <w:sz w:val="20"/>
                <w:lang w:val="fr-BE"/>
              </w:rPr>
              <w:t>titre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olor w:val="1F497D" w:themeColor="text2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left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caps/>
                <w:sz w:val="20"/>
                <w:lang w:val="fr-BE"/>
              </w:rPr>
            </w:pP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POUR les utilisateurs : </w:t>
            </w:r>
            <w:r>
              <w:rPr>
                <w:rFonts w:ascii="Trebuchet MS" w:hAnsi="Trebuchet MS"/>
                <w:b/>
                <w:bCs/>
                <w:caps/>
                <w:sz w:val="20"/>
                <w:highlight w:val="yellow"/>
                <w:lang w:val="fr-BE"/>
              </w:rPr>
              <w:t>xxxxxxxxxxxxxxxxxxx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Pour le pouvoir subsidiant : </w:t>
            </w:r>
            <w:r>
              <w:rPr>
                <w:rFonts w:ascii="Trebuchet MS" w:hAnsi="Trebuchet MS"/>
                <w:b/>
                <w:bCs/>
                <w:caps/>
                <w:sz w:val="20"/>
                <w:highlight w:val="yellow"/>
                <w:lang w:val="fr-BE"/>
              </w:rPr>
              <w:t>xxxxxxxxxxxxxxxxx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Pour l’assistant à la maîtrise d’ouvrage : </w:t>
            </w:r>
            <w:r>
              <w:rPr>
                <w:rFonts w:ascii="Trebuchet MS" w:hAnsi="Trebuchet MS"/>
                <w:b/>
                <w:bCs/>
                <w:caps/>
                <w:sz w:val="20"/>
                <w:highlight w:val="yellow"/>
                <w:lang w:val="fr-BE"/>
              </w:rPr>
              <w:t>xxxxxxxxxxxxxxx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POUR l’urbanisme </w:t>
            </w:r>
            <w:r>
              <w:rPr>
                <w:rFonts w:ascii="Trebuchet MS" w:hAnsi="Trebuchet MS"/>
                <w:b/>
                <w:bCs/>
                <w:caps/>
                <w:sz w:val="20"/>
                <w:highlight w:val="yellow"/>
                <w:lang w:val="fr-BE"/>
              </w:rPr>
              <w:t>REGIONAL</w:t>
            </w: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 xml:space="preserve"> et LOCAL</w:t>
            </w:r>
          </w:p>
        </w:tc>
      </w:tr>
      <w:tr>
        <w:tc>
          <w:tcPr>
            <w:tcW w:w="2518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2518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</w:pPr>
            <w:r>
              <w:rPr>
                <w:rFonts w:ascii="Trebuchet MS" w:hAnsi="Trebuchet MS"/>
                <w:b/>
                <w:bCs/>
                <w:caps/>
                <w:sz w:val="20"/>
                <w:lang w:val="fr-BE"/>
              </w:rPr>
              <w:t>expertS exterieurS</w:t>
            </w:r>
          </w:p>
        </w:tc>
      </w:tr>
      <w:tr>
        <w:tc>
          <w:tcPr>
            <w:tcW w:w="2518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2518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2518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 w:themeFill="text1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highlight w:val="black"/>
                <w:lang w:val="fr-BE"/>
              </w:rPr>
              <w:t xml:space="preserve">MEMBRES DU JURY – voix </w:t>
            </w: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lang w:val="fr-BE"/>
              </w:rPr>
              <w:t>CONSULTATIVE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i/>
                <w:color w:val="1F497D" w:themeColor="text2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olor w:val="1F497D" w:themeColor="text2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left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caps/>
                <w:sz w:val="20"/>
                <w:lang w:val="fr-BE"/>
              </w:rPr>
            </w:pPr>
          </w:p>
        </w:tc>
      </w:tr>
      <w:tr>
        <w:tc>
          <w:tcPr>
            <w:tcW w:w="918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 w:themeFill="text1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lang w:val="fr-BE"/>
              </w:rPr>
              <w:t xml:space="preserve">commission technique </w:t>
            </w: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highlight w:val="black"/>
                <w:lang w:val="fr-BE"/>
              </w:rPr>
              <w:t xml:space="preserve">– voix </w:t>
            </w:r>
            <w:r>
              <w:rPr>
                <w:rFonts w:ascii="Trebuchet MS" w:hAnsi="Trebuchet MS"/>
                <w:b/>
                <w:bCs/>
                <w:caps/>
                <w:color w:val="FFFFFF" w:themeColor="background1"/>
                <w:sz w:val="20"/>
                <w:lang w:val="fr-BE"/>
              </w:rPr>
              <w:t>CONSULTATIVE</w:t>
            </w: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i/>
                <w:color w:val="1F497D" w:themeColor="text2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olor w:val="1F497D" w:themeColor="text2"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color w:val="1F497D" w:themeColor="text2"/>
                <w:sz w:val="20"/>
                <w:lang w:val="fr-BE"/>
              </w:rPr>
            </w:pPr>
          </w:p>
        </w:tc>
      </w:tr>
      <w:tr>
        <w:tc>
          <w:tcPr>
            <w:tcW w:w="2660" w:type="dxa"/>
            <w:gridSpan w:val="2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left"/>
              <w:rPr>
                <w:rFonts w:ascii="Trebuchet MS" w:hAnsi="Trebuchet MS"/>
                <w:sz w:val="20"/>
                <w:lang w:val="fr-BE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caps/>
                <w:sz w:val="20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Liste21"/>
              <w:tabs>
                <w:tab w:val="clear" w:pos="454"/>
              </w:tabs>
              <w:spacing w:before="0"/>
              <w:ind w:left="0" w:firstLine="0"/>
              <w:jc w:val="center"/>
              <w:rPr>
                <w:rFonts w:ascii="Trebuchet MS" w:hAnsi="Trebuchet MS"/>
                <w:b/>
                <w:caps/>
                <w:sz w:val="20"/>
                <w:lang w:val="fr-BE"/>
              </w:rPr>
            </w:pPr>
          </w:p>
        </w:tc>
      </w:tr>
    </w:tbl>
    <w:p>
      <w:pPr>
        <w:spacing w:before="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Lors des réunions du Jury, chaque membre peut déléguer un représentant en cas d’indisponibilité.</w:t>
      </w:r>
      <w:bookmarkEnd w:id="3"/>
      <w:bookmarkEnd w:id="4"/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  <w:highlight w:val="yellow"/>
        </w:rPr>
      </w:pPr>
      <w:r>
        <w:rPr>
          <w:rFonts w:ascii="Trebuchet MS" w:hAnsi="Trebuchet MS" w:cs="Arial"/>
          <w:sz w:val="20"/>
          <w:highlight w:val="yellow"/>
          <w:u w:val="single"/>
        </w:rPr>
        <w:t>La Présidence du Jury</w:t>
      </w:r>
      <w:r>
        <w:rPr>
          <w:rFonts w:ascii="Trebuchet MS" w:hAnsi="Trebuchet MS" w:cs="Arial"/>
          <w:sz w:val="20"/>
          <w:highlight w:val="yellow"/>
        </w:rPr>
        <w:t xml:space="preserve"> est assurée par </w:t>
      </w:r>
      <w:proofErr w:type="spellStart"/>
      <w:r>
        <w:rPr>
          <w:rFonts w:ascii="Trebuchet MS" w:hAnsi="Trebuchet MS" w:cs="Arial"/>
          <w:sz w:val="20"/>
          <w:highlight w:val="yellow"/>
        </w:rPr>
        <w:t>Xxxxx</w:t>
      </w:r>
      <w:proofErr w:type="spellEnd"/>
      <w:r>
        <w:rPr>
          <w:rFonts w:ascii="Trebuchet MS" w:hAnsi="Trebuchet MS" w:cs="Arial"/>
          <w:sz w:val="20"/>
          <w:highlight w:val="yellow"/>
        </w:rPr>
        <w:t xml:space="preserve"> XXXXXX.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 w:cs="Arial"/>
          <w:sz w:val="20"/>
          <w:u w:val="single"/>
        </w:rPr>
        <w:t>Compétence du jury</w:t>
      </w:r>
      <w:r>
        <w:rPr>
          <w:rFonts w:ascii="Trebuchet MS" w:hAnsi="Trebuchet MS" w:cs="Arial"/>
          <w:sz w:val="20"/>
        </w:rPr>
        <w:t> : le jury dispose d’un pouvoir d’avis.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Modalités de vote </w:t>
      </w:r>
      <w:r>
        <w:rPr>
          <w:rFonts w:ascii="Trebuchet MS" w:hAnsi="Trebuchet MS" w:cs="Arial"/>
          <w:sz w:val="20"/>
        </w:rPr>
        <w:t>: selon les indications reprises dans le tableau ci-dessus, les membres du Jury ont une voix consultative ou délibérative. Seuls les membres avec voix délibérative peuvent voter. Les décisions se prennent à la majorité. En cas d’égalité, il revient à l’adjudicateur de trancher. Les votes ne s’expriment pas à bulletin secret.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Obligation de réserve</w:t>
      </w:r>
      <w:r>
        <w:rPr>
          <w:rFonts w:ascii="Trebuchet MS" w:hAnsi="Trebuchet MS" w:cs="Arial"/>
          <w:sz w:val="20"/>
        </w:rPr>
        <w:t xml:space="preserve">. Les membres Jury sont tenus à une obligation de réserve jusqu’à nouvel ordre de l’adjudicateur. 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lastRenderedPageBreak/>
        <w:t>Rapports</w:t>
      </w:r>
      <w:r>
        <w:rPr>
          <w:rFonts w:ascii="Trebuchet MS" w:hAnsi="Trebuchet MS" w:cs="Arial"/>
          <w:sz w:val="20"/>
        </w:rPr>
        <w:t xml:space="preserve">. Les rapports de sélection et ensuite d’attribution sont établis par </w:t>
      </w:r>
      <w:smartTag w:uri="urn:schemas-microsoft-com:office:smarttags" w:element="PersonName">
        <w:smartTagPr>
          <w:attr w:name="ProductID" w:val="la Cellule"/>
        </w:smartTagPr>
        <w:r>
          <w:rPr>
            <w:rFonts w:ascii="Trebuchet MS" w:hAnsi="Trebuchet MS" w:cs="Arial"/>
            <w:sz w:val="20"/>
            <w:highlight w:val="yellow"/>
          </w:rPr>
          <w:t>la Cellule</w:t>
        </w:r>
      </w:smartTag>
      <w:r>
        <w:rPr>
          <w:rFonts w:ascii="Trebuchet MS" w:hAnsi="Trebuchet MS" w:cs="Arial"/>
          <w:sz w:val="20"/>
          <w:highlight w:val="yellow"/>
        </w:rPr>
        <w:t xml:space="preserve"> architecture</w:t>
      </w:r>
      <w:r>
        <w:rPr>
          <w:rFonts w:ascii="Trebuchet MS" w:hAnsi="Trebuchet MS" w:cs="Arial"/>
          <w:sz w:val="20"/>
        </w:rPr>
        <w:t>. Ils seront transmis pour connaissance à tous les membres du Jury.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Dédommagement des experts</w:t>
      </w:r>
      <w:r>
        <w:rPr>
          <w:rFonts w:ascii="Trebuchet MS" w:hAnsi="Trebuchet MS" w:cs="Arial"/>
          <w:sz w:val="20"/>
        </w:rPr>
        <w:t>. Les experts extérieurs ont droit à un dédommagement plus les éventuels frais de transport.</w:t>
      </w:r>
    </w:p>
    <w:p>
      <w:pPr>
        <w:numPr>
          <w:ilvl w:val="0"/>
          <w:numId w:val="18"/>
        </w:numPr>
        <w:tabs>
          <w:tab w:val="num" w:pos="284"/>
        </w:tabs>
        <w:spacing w:before="180"/>
        <w:ind w:left="284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  <w:u w:val="single"/>
        </w:rPr>
        <w:t>Dédommagement des soumissionnaires</w:t>
      </w:r>
      <w:r>
        <w:rPr>
          <w:rFonts w:ascii="Trebuchet MS" w:hAnsi="Trebuchet MS" w:cs="Arial"/>
          <w:sz w:val="20"/>
        </w:rPr>
        <w:t xml:space="preserve">. Chaque soumissionnaire ayant remis un dossier régulier et complet et l’ayant défendu devant </w:t>
      </w:r>
      <w:bookmarkStart w:id="5" w:name="_GoBack"/>
      <w:bookmarkEnd w:id="5"/>
      <w:r>
        <w:rPr>
          <w:rFonts w:ascii="Trebuchet MS" w:hAnsi="Trebuchet MS" w:cs="Arial"/>
          <w:sz w:val="20"/>
        </w:rPr>
        <w:t xml:space="preserve">le Jury recevra un dédommagement forfaitaire de </w:t>
      </w:r>
      <w:r>
        <w:rPr>
          <w:rFonts w:ascii="Trebuchet MS" w:hAnsi="Trebuchet MS" w:cs="Arial"/>
          <w:sz w:val="20"/>
          <w:highlight w:val="yellow"/>
        </w:rPr>
        <w:t>X</w:t>
      </w:r>
      <w:commentRangeStart w:id="6"/>
      <w:r>
        <w:rPr>
          <w:rFonts w:ascii="Trebuchet MS" w:hAnsi="Trebuchet MS" w:cs="Arial"/>
          <w:sz w:val="20"/>
          <w:highlight w:val="yellow"/>
        </w:rPr>
        <w:t>XX</w:t>
      </w:r>
      <w:commentRangeEnd w:id="6"/>
      <w:r>
        <w:rPr>
          <w:rStyle w:val="Marquedecommentaire"/>
          <w:rFonts w:ascii="Trebuchet MS" w:hAnsi="Trebuchet MS"/>
        </w:rPr>
        <w:commentReference w:id="6"/>
      </w:r>
      <w:r>
        <w:rPr>
          <w:rFonts w:ascii="Trebuchet MS" w:hAnsi="Trebuchet MS" w:cs="Arial"/>
          <w:sz w:val="20"/>
          <w:highlight w:val="yellow"/>
        </w:rPr>
        <w:t>X</w:t>
      </w:r>
      <w:r>
        <w:rPr>
          <w:rFonts w:ascii="Trebuchet MS" w:hAnsi="Trebuchet MS" w:cs="Arial"/>
          <w:sz w:val="20"/>
        </w:rPr>
        <w:t xml:space="preserve"> €.</w:t>
      </w:r>
    </w:p>
    <w:sectPr>
      <w:headerReference w:type="even" r:id="rId8"/>
      <w:footerReference w:type="default" r:id="rId9"/>
      <w:footnotePr>
        <w:numRestart w:val="eachPage"/>
      </w:footnotePr>
      <w:pgSz w:w="11907" w:h="16840" w:code="9"/>
      <w:pgMar w:top="709" w:right="1247" w:bottom="993" w:left="1276" w:header="1077" w:footer="73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13-07-23T14:05:00Z" w:initials="CellArchi">
    <w:p>
      <w:pPr>
        <w:pStyle w:val="Commentaire"/>
      </w:pPr>
      <w:r>
        <w:rPr>
          <w:rStyle w:val="Marquedecommentaire"/>
        </w:rPr>
        <w:annotationRef/>
      </w:r>
      <w:r>
        <w:t>Si publicité européenne</w:t>
      </w:r>
    </w:p>
  </w:comment>
  <w:comment w:id="1" w:author="Cellule Architecture'" w:date="2014-09-30T11:51:00Z" w:initials="CellArchi">
    <w:p>
      <w:pPr>
        <w:pStyle w:val="Commentaire"/>
      </w:pPr>
      <w:r>
        <w:rPr>
          <w:rStyle w:val="Marquedecommentaire"/>
        </w:rPr>
        <w:annotationRef/>
      </w:r>
    </w:p>
    <w:p>
      <w:pPr>
        <w:pStyle w:val="Commentaire"/>
      </w:pPr>
      <w:r>
        <w:t>Le cas échéant</w:t>
      </w:r>
    </w:p>
  </w:comment>
  <w:comment w:id="2" w:author="Cellule Architecture" w:date="2016-06-22T13:49:00Z" w:initials="CellArchi">
    <w:p>
      <w:pPr>
        <w:pStyle w:val="Commentaire"/>
      </w:pPr>
      <w:r>
        <w:rPr>
          <w:rStyle w:val="Marquedecommentaire"/>
        </w:rPr>
        <w:annotationRef/>
      </w:r>
      <w:r>
        <w:t xml:space="preserve">Biffer les fonctions non  </w:t>
      </w:r>
      <w:proofErr w:type="spellStart"/>
      <w:r>
        <w:t>relevantes</w:t>
      </w:r>
      <w:proofErr w:type="spellEnd"/>
    </w:p>
  </w:comment>
  <w:comment w:id="6" w:author="Cellule Architecture" w:date="2016-03-23T10:50:00Z" w:initials="CellArchi">
    <w:p>
      <w:pPr>
        <w:pStyle w:val="Commentaire"/>
      </w:pPr>
      <w:r>
        <w:rPr>
          <w:rStyle w:val="Marquedecommentaire"/>
        </w:rPr>
        <w:annotationRef/>
      </w:r>
      <w:r>
        <w:t>A calculer. Voir module de calcul téléchargeable proposé, « budget global » sous l’onglet 1 ‘Etapes préalables ‘.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both"/>
      <w:rPr>
        <w:rFonts w:ascii="Arial" w:hAnsi="Arial" w:cs="Arial"/>
        <w:sz w:val="20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B33"/>
    <w:multiLevelType w:val="hybridMultilevel"/>
    <w:tmpl w:val="A1FE3794"/>
    <w:lvl w:ilvl="0" w:tplc="D340DD4E">
      <w:numFmt w:val="bullet"/>
      <w:lvlText w:val="-"/>
      <w:lvlJc w:val="left"/>
      <w:pPr>
        <w:tabs>
          <w:tab w:val="num" w:pos="1364"/>
        </w:tabs>
        <w:ind w:left="1364" w:hanging="4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0B915C6A"/>
    <w:multiLevelType w:val="hybridMultilevel"/>
    <w:tmpl w:val="443E6BA4"/>
    <w:lvl w:ilvl="0" w:tplc="F43AD558">
      <w:start w:val="1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DC041CB"/>
    <w:multiLevelType w:val="hybridMultilevel"/>
    <w:tmpl w:val="DE74CD62"/>
    <w:lvl w:ilvl="0" w:tplc="44361654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8D12E77"/>
    <w:multiLevelType w:val="hybridMultilevel"/>
    <w:tmpl w:val="D04EF112"/>
    <w:lvl w:ilvl="0" w:tplc="6F4C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A108A"/>
    <w:multiLevelType w:val="hybridMultilevel"/>
    <w:tmpl w:val="D80CEE54"/>
    <w:lvl w:ilvl="0" w:tplc="F1CCBE9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5834A46"/>
    <w:multiLevelType w:val="hybridMultilevel"/>
    <w:tmpl w:val="618A4790"/>
    <w:lvl w:ilvl="0" w:tplc="F43AD558">
      <w:start w:val="1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25E91FF0"/>
    <w:multiLevelType w:val="hybridMultilevel"/>
    <w:tmpl w:val="90FCB57C"/>
    <w:lvl w:ilvl="0" w:tplc="CCF6AA66">
      <w:start w:val="450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0758DA"/>
    <w:multiLevelType w:val="hybridMultilevel"/>
    <w:tmpl w:val="C2D60446"/>
    <w:lvl w:ilvl="0" w:tplc="040C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D5194"/>
    <w:multiLevelType w:val="singleLevel"/>
    <w:tmpl w:val="D1FA074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3F817B7E"/>
    <w:multiLevelType w:val="hybridMultilevel"/>
    <w:tmpl w:val="D2C2FA70"/>
    <w:lvl w:ilvl="0" w:tplc="25CA2C2A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4107745A"/>
    <w:multiLevelType w:val="singleLevel"/>
    <w:tmpl w:val="AFE454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</w:rPr>
    </w:lvl>
  </w:abstractNum>
  <w:abstractNum w:abstractNumId="11" w15:restartNumberingAfterBreak="0">
    <w:nsid w:val="453B2051"/>
    <w:multiLevelType w:val="hybridMultilevel"/>
    <w:tmpl w:val="E77AF5A6"/>
    <w:lvl w:ilvl="0" w:tplc="93022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B25C0"/>
    <w:multiLevelType w:val="singleLevel"/>
    <w:tmpl w:val="EF88BF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C83907"/>
    <w:multiLevelType w:val="hybridMultilevel"/>
    <w:tmpl w:val="871242E2"/>
    <w:lvl w:ilvl="0" w:tplc="13120FBE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B0A2912"/>
    <w:multiLevelType w:val="hybridMultilevel"/>
    <w:tmpl w:val="916EBAA4"/>
    <w:lvl w:ilvl="0" w:tplc="13120FBE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0535B8"/>
    <w:multiLevelType w:val="multilevel"/>
    <w:tmpl w:val="99E0994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1D5E3E"/>
    <w:multiLevelType w:val="hybridMultilevel"/>
    <w:tmpl w:val="5BF8B3C6"/>
    <w:lvl w:ilvl="0" w:tplc="F43AD558">
      <w:start w:val="1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1"/>
  </w:num>
  <w:num w:numId="13">
    <w:abstractNumId w:val="16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549986C-CFBB-4BCF-A8C7-BF8B4D0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568"/>
      <w:jc w:val="both"/>
      <w:outlineLvl w:val="0"/>
    </w:pPr>
    <w:rPr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276" w:hanging="850"/>
      <w:jc w:val="both"/>
    </w:pPr>
  </w:style>
  <w:style w:type="paragraph" w:styleId="Retraitcorpsdetexte2">
    <w:name w:val="Body Text Indent 2"/>
    <w:basedOn w:val="Normal"/>
    <w:pPr>
      <w:ind w:left="1418" w:hanging="850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strike w:val="0"/>
      <w:dstrike w:val="0"/>
      <w:color w:val="1684EA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re">
    <w:name w:val="titre"/>
    <w:basedOn w:val="Policepardfaut"/>
  </w:style>
  <w:style w:type="character" w:customStyle="1" w:styleId="EmailStyle251">
    <w:name w:val="EmailStyle251"/>
    <w:basedOn w:val="Policepardfaut"/>
    <w:semiHidden/>
    <w:rPr>
      <w:rFonts w:ascii="Arial" w:hAnsi="Arial" w:cs="Arial"/>
      <w:color w:val="auto"/>
      <w:sz w:val="20"/>
      <w:szCs w:val="20"/>
    </w:rPr>
  </w:style>
  <w:style w:type="paragraph" w:styleId="Liste2">
    <w:name w:val="List 2"/>
    <w:basedOn w:val="Normal"/>
    <w:pPr>
      <w:ind w:left="566" w:hanging="283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jc w:val="both"/>
    </w:pPr>
    <w:rPr>
      <w:rFonts w:ascii="Arial" w:hAnsi="Arial"/>
      <w:sz w:val="20"/>
    </w:rPr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rFonts w:ascii="Times" w:hAnsi="Times"/>
      <w:b/>
      <w:bCs/>
    </w:rPr>
  </w:style>
  <w:style w:type="paragraph" w:customStyle="1" w:styleId="Liste21">
    <w:name w:val="Liste 21"/>
    <w:basedOn w:val="Normal"/>
    <w:pPr>
      <w:tabs>
        <w:tab w:val="num" w:pos="454"/>
      </w:tabs>
      <w:suppressAutoHyphens/>
      <w:spacing w:before="120"/>
      <w:ind w:left="454" w:hanging="341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</vt:lpstr>
    </vt:vector>
  </TitlesOfParts>
  <Company>CFWB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</dc:title>
  <dc:creator>CFWB</dc:creator>
  <cp:lastModifiedBy>Cellule architecture</cp:lastModifiedBy>
  <cp:revision>24</cp:revision>
  <cp:lastPrinted>2013-06-28T14:29:00Z</cp:lastPrinted>
  <dcterms:created xsi:type="dcterms:W3CDTF">2016-03-23T09:49:00Z</dcterms:created>
  <dcterms:modified xsi:type="dcterms:W3CDTF">2020-10-28T13:00:00Z</dcterms:modified>
</cp:coreProperties>
</file>