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outlineLvl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PROCEDURE CONCURENTIELLE AVEC NEGOCIATION</w:t>
      </w:r>
    </w:p>
    <w:p>
      <w:pPr>
        <w:jc w:val="center"/>
        <w:outlineLvl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MARCHE DE SERVICES d’ARCHITECTURE</w:t>
      </w:r>
    </w:p>
    <w:p>
      <w:pPr>
        <w:jc w:val="center"/>
        <w:outlineLvl w:val="0"/>
        <w:rPr>
          <w:rFonts w:ascii="Trebuchet MS" w:hAnsi="Trebuchet MS" w:cs="Arial"/>
          <w:b/>
        </w:rPr>
      </w:pPr>
    </w:p>
    <w:p>
      <w:pPr>
        <w:jc w:val="center"/>
        <w:rPr>
          <w:rFonts w:ascii="Trebuchet MS" w:hAnsi="Trebuchet MS"/>
          <w:sz w:val="22"/>
          <w:szCs w:val="20"/>
        </w:rPr>
      </w:pPr>
      <w:r>
        <w:rPr>
          <w:rFonts w:ascii="Trebuchet MS" w:hAnsi="Trebuchet MS" w:cs="Arial"/>
          <w:sz w:val="22"/>
          <w:szCs w:val="22"/>
        </w:rPr>
        <w:t>Marché de services pour la désignation d’une équipe d’Auteurs de Projet</w:t>
      </w:r>
      <w:r>
        <w:rPr>
          <w:rFonts w:ascii="Trebuchet MS" w:hAnsi="Trebuchet MS"/>
          <w:sz w:val="22"/>
          <w:szCs w:val="20"/>
        </w:rPr>
        <w:t xml:space="preserve"> </w:t>
      </w:r>
    </w:p>
    <w:p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pour</w:t>
      </w:r>
      <w:bookmarkStart w:id="0" w:name="_Toc275162917"/>
      <w:bookmarkStart w:id="1" w:name="_Toc288740081"/>
      <w:r>
        <w:rPr>
          <w:rFonts w:ascii="Trebuchet MS" w:hAnsi="Trebuchet MS" w:cs="Arial"/>
          <w:sz w:val="22"/>
          <w:szCs w:val="22"/>
        </w:rPr>
        <w:t xml:space="preserve"> </w:t>
      </w:r>
      <w:bookmarkEnd w:id="0"/>
      <w:bookmarkEnd w:id="1"/>
      <w:r>
        <w:rPr>
          <w:rFonts w:ascii="Trebuchet MS" w:hAnsi="Trebuchet MS" w:cs="Arial"/>
          <w:sz w:val="22"/>
          <w:szCs w:val="22"/>
        </w:rPr>
        <w:t>une mission d’étude et de suivi des travaux</w:t>
      </w:r>
    </w:p>
    <w:p>
      <w:pPr>
        <w:rPr>
          <w:rFonts w:ascii="Trebuchet MS" w:hAnsi="Trebuchet MS" w:cs="Arial"/>
        </w:rPr>
      </w:pPr>
    </w:p>
    <w:p>
      <w:pPr>
        <w:jc w:val="center"/>
        <w:outlineLvl w:val="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MOTIVATION DU CHOIX DE LA PROCEDURE</w:t>
      </w:r>
    </w:p>
    <w:p>
      <w:pPr>
        <w:rPr>
          <w:rFonts w:ascii="Trebuchet MS" w:hAnsi="Trebuchet MS" w:cs="Arial"/>
          <w:b/>
          <w:u w:val="single"/>
        </w:rPr>
      </w:pPr>
    </w:p>
    <w:p>
      <w:pPr>
        <w:rPr>
          <w:rFonts w:ascii="Trebuchet MS" w:hAnsi="Trebuchet MS" w:cs="Arial"/>
          <w:b/>
          <w:u w:val="single"/>
        </w:rPr>
      </w:pPr>
    </w:p>
    <w:p>
      <w:pPr>
        <w:outlineLvl w:val="0"/>
        <w:rPr>
          <w:rFonts w:ascii="Trebuchet MS" w:hAnsi="Trebuchet MS" w:cs="Arial"/>
          <w:i/>
          <w:sz w:val="22"/>
          <w:szCs w:val="22"/>
          <w:highlight w:val="yellow"/>
        </w:rPr>
      </w:pPr>
      <w:r>
        <w:rPr>
          <w:rFonts w:ascii="Trebuchet MS" w:hAnsi="Trebuchet MS" w:cs="Arial"/>
          <w:i/>
          <w:sz w:val="22"/>
          <w:szCs w:val="22"/>
          <w:highlight w:val="yellow"/>
        </w:rPr>
        <w:t>Nom du dossier</w:t>
      </w:r>
    </w:p>
    <w:p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  <w:highlight w:val="yellow"/>
        </w:rPr>
        <w:t>Adresse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</w:rPr>
        <w:t xml:space="preserve">Vu la loi du 17 juin 2016 relative aux marchés publics et à certains marchés de travaux, fournitures et de services, notamment l’article 38, §1, 1° b) </w:t>
      </w:r>
      <w:commentRangeStart w:id="2"/>
      <w:r>
        <w:rPr>
          <w:rFonts w:ascii="Trebuchet MS" w:hAnsi="Trebuchet MS"/>
        </w:rPr>
        <w:t>et f)</w:t>
      </w:r>
      <w:commentRangeEnd w:id="2"/>
      <w:r>
        <w:rPr>
          <w:rStyle w:val="Marquedecommentaire"/>
        </w:rPr>
        <w:commentReference w:id="2"/>
      </w:r>
      <w:r>
        <w:rPr>
          <w:rFonts w:ascii="Trebuchet MS" w:hAnsi="Trebuchet MS"/>
        </w:rPr>
        <w:t xml:space="preserve">, permettant de recourir à une procédure concurrentielle avec négociation pour un marché de services incluant la conception ou les solutions innovantes </w:t>
      </w:r>
      <w:commentRangeStart w:id="3"/>
      <w:r>
        <w:rPr>
          <w:rFonts w:ascii="Trebuchet MS" w:hAnsi="Trebuchet MS"/>
        </w:rPr>
        <w:t>et dont le montant estimé hors taxe sur la valeur ajoutée est inférieur aux montants fixés par le Roi</w:t>
      </w:r>
      <w:commentRangeEnd w:id="3"/>
      <w:r>
        <w:rPr>
          <w:rStyle w:val="Marquedecommentaire"/>
        </w:rPr>
        <w:commentReference w:id="3"/>
      </w:r>
      <w:r>
        <w:rPr>
          <w:rFonts w:ascii="Trebuchet MS" w:hAnsi="Trebuchet MS"/>
        </w:rPr>
        <w:t>;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</w:rPr>
        <w:t>Etant donné que les marchés de services architecturaux incluent la conception sous forme de prestation intellectuelle créatrice;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</w:rPr>
        <w:t xml:space="preserve">Le choix est la </w:t>
      </w:r>
      <w:r>
        <w:rPr>
          <w:rFonts w:ascii="Trebuchet MS" w:hAnsi="Trebuchet MS"/>
          <w:b/>
        </w:rPr>
        <w:t xml:space="preserve">procédure </w:t>
      </w:r>
      <w:r>
        <w:rPr>
          <w:rFonts w:ascii="Trebuchet MS" w:hAnsi="Trebuchet MS"/>
        </w:rPr>
        <w:t xml:space="preserve">concurrentielle avec négociation, sur base de l’article 38, §1, 1°b) </w:t>
      </w:r>
      <w:commentRangeStart w:id="4"/>
      <w:r>
        <w:rPr>
          <w:rFonts w:ascii="Trebuchet MS" w:hAnsi="Trebuchet MS"/>
        </w:rPr>
        <w:t>et f</w:t>
      </w:r>
      <w:commentRangeEnd w:id="4"/>
      <w:r>
        <w:rPr>
          <w:rFonts w:ascii="Trebuchet MS" w:hAnsi="Trebuchet MS"/>
        </w:rPr>
        <w:t xml:space="preserve">) </w:t>
      </w:r>
      <w:r>
        <w:rPr>
          <w:rStyle w:val="Marquedecommentaire"/>
        </w:rPr>
        <w:commentReference w:id="4"/>
      </w:r>
      <w:r>
        <w:rPr>
          <w:rFonts w:ascii="Trebuchet MS" w:hAnsi="Trebuchet MS"/>
        </w:rPr>
        <w:t>de la loi du 17 juin 2016.</w:t>
      </w:r>
    </w:p>
    <w:p>
      <w:pPr>
        <w:pBdr>
          <w:bottom w:val="single" w:sz="6" w:space="0" w:color="auto"/>
        </w:pBdr>
        <w:rPr>
          <w:rFonts w:ascii="Trebuchet MS" w:hAnsi="Trebuchet MS"/>
          <w:color w:val="FF0000"/>
        </w:rPr>
      </w:pPr>
      <w:bookmarkStart w:id="5" w:name="_GoBack"/>
      <w:bookmarkEnd w:id="5"/>
    </w:p>
    <w:p>
      <w:pPr>
        <w:outlineLvl w:val="0"/>
        <w:rPr>
          <w:rFonts w:ascii="Trebuchet MS" w:hAnsi="Trebuchet MS"/>
        </w:rPr>
      </w:pPr>
    </w:p>
    <w:p>
      <w:pPr>
        <w:jc w:val="center"/>
        <w:outlineLvl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PROCEDURE NEGOCIEE SANS PUBLICATION PREALABLE</w:t>
      </w:r>
    </w:p>
    <w:p>
      <w:pPr>
        <w:jc w:val="center"/>
        <w:outlineLvl w:val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MARCHE DE SERVICES d’ARCHITECTURE</w:t>
      </w:r>
    </w:p>
    <w:p>
      <w:pPr>
        <w:jc w:val="center"/>
        <w:outlineLvl w:val="0"/>
        <w:rPr>
          <w:rFonts w:ascii="Trebuchet MS" w:hAnsi="Trebuchet MS" w:cs="Arial"/>
          <w:b/>
        </w:rPr>
      </w:pPr>
    </w:p>
    <w:p>
      <w:pPr>
        <w:jc w:val="center"/>
        <w:rPr>
          <w:rFonts w:ascii="Trebuchet MS" w:hAnsi="Trebuchet MS"/>
          <w:sz w:val="22"/>
          <w:szCs w:val="20"/>
        </w:rPr>
      </w:pPr>
      <w:r>
        <w:rPr>
          <w:rFonts w:ascii="Trebuchet MS" w:hAnsi="Trebuchet MS" w:cs="Arial"/>
          <w:sz w:val="22"/>
          <w:szCs w:val="22"/>
        </w:rPr>
        <w:t>Marché de services pour la désignation d’une équipe d’Auteurs de Projet</w:t>
      </w:r>
      <w:r>
        <w:rPr>
          <w:rFonts w:ascii="Trebuchet MS" w:hAnsi="Trebuchet MS"/>
          <w:sz w:val="22"/>
          <w:szCs w:val="20"/>
        </w:rPr>
        <w:t xml:space="preserve"> </w:t>
      </w:r>
    </w:p>
    <w:p>
      <w:pPr>
        <w:jc w:val="center"/>
        <w:rPr>
          <w:rFonts w:ascii="Trebuchet MS" w:hAnsi="Trebuchet MS" w:cs="Arial"/>
          <w:sz w:val="22"/>
          <w:szCs w:val="22"/>
        </w:rPr>
      </w:pPr>
      <w:r>
        <w:rPr>
          <w:rFonts w:ascii="Trebuchet MS" w:hAnsi="Trebuchet MS" w:cs="Arial"/>
          <w:sz w:val="22"/>
          <w:szCs w:val="22"/>
        </w:rPr>
        <w:t>pour une mission d’étude et de suivi des travaux</w:t>
      </w:r>
    </w:p>
    <w:p>
      <w:pPr>
        <w:rPr>
          <w:rFonts w:ascii="Trebuchet MS" w:hAnsi="Trebuchet MS" w:cs="Arial"/>
        </w:rPr>
      </w:pPr>
    </w:p>
    <w:p>
      <w:pPr>
        <w:jc w:val="center"/>
        <w:outlineLvl w:val="0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MOTIVATION DU CHOIX DE LA PROCEDURE</w:t>
      </w:r>
    </w:p>
    <w:p>
      <w:pPr>
        <w:rPr>
          <w:rFonts w:ascii="Trebuchet MS" w:hAnsi="Trebuchet MS" w:cs="Arial"/>
          <w:b/>
          <w:u w:val="single"/>
        </w:rPr>
      </w:pPr>
    </w:p>
    <w:p>
      <w:pPr>
        <w:outlineLvl w:val="0"/>
        <w:rPr>
          <w:rFonts w:ascii="Trebuchet MS" w:hAnsi="Trebuchet MS" w:cs="Arial"/>
          <w:i/>
          <w:sz w:val="22"/>
          <w:szCs w:val="22"/>
          <w:highlight w:val="yellow"/>
        </w:rPr>
      </w:pPr>
      <w:r>
        <w:rPr>
          <w:rFonts w:ascii="Trebuchet MS" w:hAnsi="Trebuchet MS" w:cs="Arial"/>
          <w:i/>
          <w:sz w:val="22"/>
          <w:szCs w:val="22"/>
          <w:highlight w:val="yellow"/>
        </w:rPr>
        <w:t>Nom du dossier</w:t>
      </w:r>
    </w:p>
    <w:p>
      <w:pPr>
        <w:rPr>
          <w:rFonts w:ascii="Trebuchet MS" w:hAnsi="Trebuchet MS" w:cs="Arial"/>
          <w:i/>
          <w:sz w:val="22"/>
          <w:szCs w:val="22"/>
        </w:rPr>
      </w:pPr>
      <w:r>
        <w:rPr>
          <w:rFonts w:ascii="Trebuchet MS" w:hAnsi="Trebuchet MS" w:cs="Arial"/>
          <w:i/>
          <w:sz w:val="22"/>
          <w:szCs w:val="22"/>
          <w:highlight w:val="yellow"/>
        </w:rPr>
        <w:t>Adresse</w:t>
      </w: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 w:cs="Arial"/>
          <w:sz w:val="22"/>
          <w:szCs w:val="22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</w:rPr>
        <w:t>Vu la loi du 17 juin 2016 relative aux marchés publics et à certains marchés de travaux, fournitures et de services, notamment l’article article 42, §1, 1°, a), permettant de recourir à une procédure négociée sans publication préalable pour un marché de services et dont le montant estimé hors taxe sur la valeur ajoutée est inférieur aux montants fixés par le Roi;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  <w:vertAlign w:val="superscript"/>
        </w:rPr>
      </w:pPr>
      <w:r>
        <w:rPr>
          <w:rFonts w:ascii="Trebuchet MS" w:hAnsi="Trebuchet MS"/>
        </w:rPr>
        <w:t xml:space="preserve">Vu l’A.R. du 18 avril 2017 relatif aux marchés publics de travaux, de fournitures et de services et aux concessions de travaux publics, notamment l’article 90, 1°, fixant le minimum du montant estimé des marchés soumis à publicité (soit 135.000 € HTVA) et que le montant estimé du marché est de </w:t>
      </w:r>
      <w:r>
        <w:rPr>
          <w:rFonts w:ascii="Trebuchet MS" w:hAnsi="Trebuchet MS"/>
          <w:highlight w:val="yellow"/>
        </w:rPr>
        <w:t xml:space="preserve">X.XXX.XXX </w:t>
      </w:r>
      <w:r>
        <w:rPr>
          <w:rStyle w:val="Marquedecommentaire"/>
          <w:rFonts w:ascii="Trebuchet MS" w:hAnsi="Trebuchet MS"/>
          <w:highlight w:val="yellow"/>
        </w:rPr>
        <w:annotationRef/>
      </w:r>
      <w:r>
        <w:rPr>
          <w:rFonts w:ascii="Trebuchet MS" w:hAnsi="Trebuchet MS"/>
          <w:highlight w:val="yellow"/>
        </w:rPr>
        <w:t>€,</w:t>
      </w:r>
      <w:r>
        <w:rPr>
          <w:rFonts w:ascii="Trebuchet MS" w:hAnsi="Trebuchet MS"/>
        </w:rPr>
        <w:t xml:space="preserve"> qu’il ne dépasse donc pas le seuil de publicité ;</w:t>
      </w:r>
    </w:p>
    <w:p>
      <w:pPr>
        <w:rPr>
          <w:rFonts w:ascii="Trebuchet MS" w:hAnsi="Trebuchet MS"/>
        </w:rPr>
      </w:pPr>
    </w:p>
    <w:p>
      <w:pPr>
        <w:rPr>
          <w:rFonts w:ascii="Trebuchet MS" w:hAnsi="Trebuchet MS"/>
        </w:rPr>
      </w:pPr>
      <w:r>
        <w:rPr>
          <w:rFonts w:ascii="Trebuchet MS" w:hAnsi="Trebuchet MS"/>
        </w:rPr>
        <w:t>Le choix est la procédure négociée sans publication préalable, sur base de l’article 42, §1, 1°, a) de la loi du 17 juin 2016.</w:t>
      </w:r>
    </w:p>
    <w:sectPr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GUISSE Sabine" w:date="2017-08-24T11:45:00Z" w:initials="GS">
    <w:p>
      <w:pPr>
        <w:pStyle w:val="Commentaire"/>
      </w:pPr>
      <w:r>
        <w:rPr>
          <w:rStyle w:val="Marquedecommentaire"/>
        </w:rPr>
        <w:annotationRef/>
      </w:r>
      <w:r>
        <w:t>si publicité belge</w:t>
      </w:r>
    </w:p>
  </w:comment>
  <w:comment w:id="3" w:author="GUISSE Sabine" w:date="2017-08-24T11:48:00Z" w:initials="GS">
    <w:p>
      <w:pPr>
        <w:pStyle w:val="Commentaire"/>
      </w:pPr>
      <w:r>
        <w:rPr>
          <w:rStyle w:val="Marquedecommentaire"/>
        </w:rPr>
        <w:annotationRef/>
      </w:r>
      <w:r>
        <w:t>si publicité belge</w:t>
      </w:r>
    </w:p>
  </w:comment>
  <w:comment w:id="4" w:author="GUISSE Sabine" w:date="2017-08-24T11:45:00Z" w:initials="GS">
    <w:p>
      <w:pPr>
        <w:pStyle w:val="Commentaire"/>
      </w:pPr>
      <w:r>
        <w:rPr>
          <w:rStyle w:val="Marquedecommentaire"/>
        </w:rPr>
        <w:annotationRef/>
      </w:r>
      <w:r>
        <w:t>si publicité belge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UISSE Sabine">
    <w15:presenceInfo w15:providerId="AD" w15:userId="S-1-5-21-1759653605-1313832288-709122288-866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9EB7C5-AB38-45C6-AFF5-452A8517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basedOn w:val="Policepardfaut"/>
    <w:semiHidden/>
    <w:rPr>
      <w:vertAlign w:val="superscript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locked/>
    <w:rPr>
      <w:lang w:val="fr-FR" w:eastAsia="fr-FR" w:bidi="ar-SA"/>
    </w:rPr>
  </w:style>
  <w:style w:type="paragraph" w:styleId="Notedefin">
    <w:name w:val="endnote text"/>
    <w:basedOn w:val="Normal"/>
    <w:link w:val="NotedefinCar"/>
    <w:pPr>
      <w:jc w:val="both"/>
    </w:pPr>
    <w:rPr>
      <w:rFonts w:ascii="Arial" w:hAnsi="Arial"/>
      <w:sz w:val="20"/>
      <w:szCs w:val="20"/>
    </w:rPr>
  </w:style>
  <w:style w:type="character" w:customStyle="1" w:styleId="NotedefinCar">
    <w:name w:val="Note de fin Car"/>
    <w:basedOn w:val="Policepardfaut"/>
    <w:link w:val="Notedefin"/>
    <w:rPr>
      <w:rFonts w:ascii="Arial" w:hAnsi="Arial"/>
      <w:lang w:val="fr-FR" w:eastAsia="fr-FR"/>
    </w:rPr>
  </w:style>
  <w:style w:type="character" w:styleId="Appeldenotedefin">
    <w:name w:val="endnote reference"/>
    <w:basedOn w:val="Policepardfaut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PROCEDURE NEGOCIEE AVEC PUBLICITE EUROPEENNE</vt:lpstr>
    </vt:vector>
  </TitlesOfParts>
  <Company>CFWB</Company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NEGOCIEE AVEC PUBLICITE EUROPEENNE</dc:title>
  <dc:creator>CFWB</dc:creator>
  <cp:lastModifiedBy>GUISSE Sabine</cp:lastModifiedBy>
  <cp:revision>3</cp:revision>
  <cp:lastPrinted>2009-05-14T10:43:00Z</cp:lastPrinted>
  <dcterms:created xsi:type="dcterms:W3CDTF">2017-10-11T09:12:00Z</dcterms:created>
  <dcterms:modified xsi:type="dcterms:W3CDTF">2017-10-11T09:12:00Z</dcterms:modified>
</cp:coreProperties>
</file>